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4E521664" w:rsidP="00FE73DF" w:rsidRDefault="4E521664" w14:paraId="05411980" w14:textId="1DE12B48">
      <w:pPr>
        <w:spacing w:after="0" w:line="360" w:lineRule="auto"/>
        <w:jc w:val="center"/>
        <w:rPr>
          <w:rFonts w:ascii="Arial" w:hAnsi="Arial" w:eastAsia="Arial" w:cs="Arial"/>
          <w:b/>
          <w:bCs/>
          <w:lang w:val="en"/>
        </w:rPr>
      </w:pPr>
      <w:r w:rsidRPr="4E521664">
        <w:rPr>
          <w:rFonts w:ascii="Arial" w:hAnsi="Arial" w:eastAsia="Arial" w:cs="Arial"/>
          <w:b/>
          <w:bCs/>
          <w:lang w:val="en"/>
        </w:rPr>
        <w:t>GUELPH ENGINEERING SOCIETY</w:t>
      </w:r>
    </w:p>
    <w:p w:rsidR="4E521664" w:rsidP="00FE73DF" w:rsidRDefault="4E521664" w14:paraId="386C6675" w14:textId="55686043">
      <w:pPr>
        <w:spacing w:after="0" w:line="360" w:lineRule="auto"/>
        <w:jc w:val="center"/>
        <w:rPr>
          <w:rFonts w:ascii="Arial" w:hAnsi="Arial" w:eastAsia="Arial" w:cs="Arial"/>
        </w:rPr>
      </w:pPr>
      <w:r w:rsidRPr="4E521664">
        <w:rPr>
          <w:rFonts w:ascii="Arial" w:hAnsi="Arial" w:eastAsia="Arial" w:cs="Arial"/>
          <w:b/>
          <w:bCs/>
          <w:lang w:val="en"/>
        </w:rPr>
        <w:t>POLICY MANUAL: ENGINEERING SOCIETY OFFICE RULES</w:t>
      </w:r>
    </w:p>
    <w:p w:rsidR="5CF78024" w:rsidP="00FE73DF" w:rsidRDefault="5CF78024" w14:paraId="32EEA890" w14:textId="638D36B0">
      <w:pPr>
        <w:spacing w:after="0" w:line="360" w:lineRule="auto"/>
        <w:jc w:val="center"/>
        <w:rPr>
          <w:rFonts w:ascii="Arial" w:hAnsi="Arial" w:eastAsia="Arial" w:cs="Arial"/>
          <w:i/>
          <w:iCs/>
          <w:lang w:val="en"/>
        </w:rPr>
      </w:pPr>
      <w:r w:rsidRPr="5CF78024">
        <w:rPr>
          <w:rFonts w:ascii="Arial" w:hAnsi="Arial" w:eastAsia="Arial" w:cs="Arial"/>
          <w:i/>
          <w:iCs/>
          <w:lang w:val="en"/>
        </w:rPr>
        <w:t>Adopted 2017-11-15</w:t>
      </w:r>
      <w:r>
        <w:br/>
      </w:r>
      <w:r w:rsidRPr="5CF78024">
        <w:rPr>
          <w:rFonts w:ascii="Arial" w:hAnsi="Arial" w:eastAsia="Arial" w:cs="Arial"/>
          <w:i/>
          <w:iCs/>
          <w:lang w:val="en"/>
        </w:rPr>
        <w:t xml:space="preserve">Ratified by Council </w:t>
      </w:r>
      <w:r w:rsidR="000F1ABC">
        <w:rPr>
          <w:rFonts w:ascii="Arial" w:hAnsi="Arial" w:eastAsia="Arial" w:cs="Arial"/>
          <w:i/>
          <w:iCs/>
          <w:lang w:val="en"/>
        </w:rPr>
        <w:t>2018</w:t>
      </w:r>
      <w:r w:rsidRPr="5CF78024">
        <w:rPr>
          <w:rFonts w:ascii="Arial" w:hAnsi="Arial" w:eastAsia="Arial" w:cs="Arial"/>
          <w:i/>
          <w:iCs/>
          <w:lang w:val="en"/>
        </w:rPr>
        <w:t>-</w:t>
      </w:r>
      <w:r w:rsidR="000F1ABC">
        <w:rPr>
          <w:rFonts w:ascii="Arial" w:hAnsi="Arial" w:eastAsia="Arial" w:cs="Arial"/>
          <w:i/>
          <w:iCs/>
          <w:lang w:val="en"/>
        </w:rPr>
        <w:t>0</w:t>
      </w:r>
      <w:r w:rsidR="00AB2940">
        <w:rPr>
          <w:rFonts w:ascii="Arial" w:hAnsi="Arial" w:eastAsia="Arial" w:cs="Arial"/>
          <w:i/>
          <w:iCs/>
          <w:lang w:val="en"/>
        </w:rPr>
        <w:t>3</w:t>
      </w:r>
      <w:r w:rsidR="000F1ABC">
        <w:rPr>
          <w:rFonts w:ascii="Arial" w:hAnsi="Arial" w:eastAsia="Arial" w:cs="Arial"/>
          <w:i/>
          <w:iCs/>
          <w:lang w:val="en"/>
        </w:rPr>
        <w:t>-</w:t>
      </w:r>
      <w:r w:rsidR="00AB2940">
        <w:rPr>
          <w:rFonts w:ascii="Arial" w:hAnsi="Arial" w:eastAsia="Arial" w:cs="Arial"/>
          <w:i/>
          <w:iCs/>
          <w:lang w:val="en"/>
        </w:rPr>
        <w:t>21</w:t>
      </w:r>
    </w:p>
    <w:p w:rsidR="4E521664" w:rsidP="00FE73DF" w:rsidRDefault="4E521664" w14:paraId="770409DE" w14:textId="2399CEA3">
      <w:pPr>
        <w:spacing w:after="0" w:line="360" w:lineRule="auto"/>
        <w:jc w:val="center"/>
        <w:rPr>
          <w:rFonts w:ascii="Arial" w:hAnsi="Arial" w:eastAsia="Arial" w:cs="Arial"/>
        </w:rPr>
      </w:pPr>
    </w:p>
    <w:p w:rsidR="4E521664" w:rsidP="00FE73DF" w:rsidRDefault="4E521664" w14:paraId="3CAC1FCD" w14:textId="0A860AF5">
      <w:pPr>
        <w:pStyle w:val="ListParagraph"/>
        <w:numPr>
          <w:ilvl w:val="0"/>
          <w:numId w:val="1"/>
        </w:numPr>
        <w:spacing w:after="0" w:line="360" w:lineRule="auto"/>
        <w:rPr>
          <w:u w:val="single"/>
          <w:lang w:val="en"/>
        </w:rPr>
      </w:pPr>
      <w:r w:rsidRPr="4E521664">
        <w:rPr>
          <w:rFonts w:ascii="Arial" w:hAnsi="Arial" w:eastAsia="Arial" w:cs="Arial"/>
          <w:u w:val="single"/>
          <w:lang w:val="en"/>
        </w:rPr>
        <w:t>Policy Manual:</w:t>
      </w:r>
    </w:p>
    <w:p w:rsidR="4E521664" w:rsidP="42D5FCBE" w:rsidRDefault="4E521664" w14:paraId="7712EB91" w14:textId="29AB4096">
      <w:pPr>
        <w:pStyle w:val="ListParagraph"/>
        <w:numPr>
          <w:ilvl w:val="1"/>
          <w:numId w:val="1"/>
        </w:numPr>
        <w:spacing w:after="0" w:line="360" w:lineRule="auto"/>
        <w:rPr>
          <w:lang w:val="en"/>
        </w:rPr>
      </w:pPr>
      <w:r w:rsidRPr="10EED558" w:rsidR="68E82412">
        <w:rPr>
          <w:rFonts w:ascii="Arial" w:hAnsi="Arial" w:eastAsia="Arial" w:cs="Arial"/>
          <w:lang w:val="en"/>
        </w:rPr>
        <w:t>This Policy Manual shall contain policies regarding the use and maintenance of the Engineering Society Office (the "Office"), located in the Thornbrough Building, room 1421, including the lobby area in front of the office.</w:t>
      </w:r>
      <w:r>
        <w:br/>
      </w:r>
    </w:p>
    <w:p w:rsidR="4E521664" w:rsidP="00FE73DF" w:rsidRDefault="4E521664" w14:paraId="1B87D581" w14:textId="4E7E76E8">
      <w:pPr>
        <w:pStyle w:val="ListParagraph"/>
        <w:numPr>
          <w:ilvl w:val="0"/>
          <w:numId w:val="1"/>
        </w:numPr>
        <w:spacing w:after="0" w:line="360" w:lineRule="auto"/>
        <w:rPr>
          <w:lang w:val="en"/>
        </w:rPr>
      </w:pPr>
      <w:r w:rsidRPr="4E521664">
        <w:rPr>
          <w:rFonts w:ascii="Arial" w:hAnsi="Arial" w:eastAsia="Arial" w:cs="Arial"/>
          <w:u w:val="single"/>
          <w:lang w:val="en"/>
        </w:rPr>
        <w:t>Thornbrough Manager:</w:t>
      </w:r>
    </w:p>
    <w:p w:rsidR="4E521664" w:rsidP="00FE73DF" w:rsidRDefault="68E82412" w14:paraId="70B85605" w14:textId="5BB749B8">
      <w:pPr>
        <w:pStyle w:val="ListParagraph"/>
        <w:numPr>
          <w:ilvl w:val="1"/>
          <w:numId w:val="1"/>
        </w:numPr>
        <w:spacing w:after="0" w:line="360" w:lineRule="auto"/>
        <w:rPr>
          <w:lang w:val="en"/>
        </w:rPr>
      </w:pPr>
      <w:r w:rsidRPr="68E82412">
        <w:rPr>
          <w:rFonts w:ascii="Arial" w:hAnsi="Arial" w:eastAsia="Arial" w:cs="Arial"/>
          <w:lang w:val="en"/>
        </w:rPr>
        <w:t>An officer, known as the Thornbrough Manager, shall be appointed by Council to oversee the operations of the Office.</w:t>
      </w:r>
    </w:p>
    <w:p w:rsidR="4E521664" w:rsidP="00FE73DF" w:rsidRDefault="68E82412" w14:paraId="3DDA8A1A" w14:textId="66CA2932">
      <w:pPr>
        <w:pStyle w:val="ListParagraph"/>
        <w:numPr>
          <w:ilvl w:val="1"/>
          <w:numId w:val="1"/>
        </w:numPr>
        <w:spacing w:after="0" w:line="360" w:lineRule="auto"/>
        <w:rPr>
          <w:lang w:val="en"/>
        </w:rPr>
      </w:pPr>
      <w:r w:rsidRPr="68E82412">
        <w:rPr>
          <w:rFonts w:ascii="Arial" w:hAnsi="Arial" w:eastAsia="Arial" w:cs="Arial"/>
          <w:lang w:val="en"/>
        </w:rPr>
        <w:t>The Thornbrough Manager shall maintain cleanliness and order in the Office.</w:t>
      </w:r>
    </w:p>
    <w:p w:rsidR="4E521664" w:rsidP="00FE73DF" w:rsidRDefault="4E521664" w14:paraId="614AAFD0" w14:textId="1A88C4F6">
      <w:pPr>
        <w:spacing w:after="0" w:line="360" w:lineRule="auto"/>
        <w:ind w:left="1080" w:hanging="360"/>
        <w:rPr>
          <w:rFonts w:ascii="Arial" w:hAnsi="Arial" w:eastAsia="Arial" w:cs="Arial"/>
          <w:lang w:val="en"/>
        </w:rPr>
      </w:pPr>
    </w:p>
    <w:p w:rsidR="4E521664" w:rsidP="00FE73DF" w:rsidRDefault="4E521664" w14:paraId="0111E02A" w14:textId="23A15544">
      <w:pPr>
        <w:pStyle w:val="ListParagraph"/>
        <w:numPr>
          <w:ilvl w:val="0"/>
          <w:numId w:val="1"/>
        </w:numPr>
        <w:spacing w:after="0" w:line="360" w:lineRule="auto"/>
      </w:pPr>
      <w:r w:rsidRPr="4E521664">
        <w:rPr>
          <w:rFonts w:ascii="Arial" w:hAnsi="Arial" w:eastAsia="Arial" w:cs="Arial"/>
          <w:u w:val="single"/>
          <w:lang w:val="en"/>
        </w:rPr>
        <w:t>Use of and Access to the Office:</w:t>
      </w:r>
    </w:p>
    <w:p w:rsidR="4E521664" w:rsidP="00FE73DF" w:rsidRDefault="4E521664" w14:paraId="0511B097" w14:textId="05512F14">
      <w:pPr>
        <w:pStyle w:val="ListParagraph"/>
        <w:numPr>
          <w:ilvl w:val="1"/>
          <w:numId w:val="1"/>
        </w:numPr>
        <w:spacing w:after="0" w:line="360" w:lineRule="auto"/>
        <w:rPr>
          <w:lang w:val="en"/>
        </w:rPr>
      </w:pPr>
      <w:r w:rsidRPr="4E521664">
        <w:rPr>
          <w:rFonts w:ascii="Arial" w:hAnsi="Arial" w:eastAsia="Arial" w:cs="Arial"/>
          <w:lang w:val="en"/>
        </w:rPr>
        <w:t>Only Officers of the Engineering Society are permitted to access the Office.</w:t>
      </w:r>
    </w:p>
    <w:p w:rsidR="4E521664" w:rsidP="00FE73DF" w:rsidRDefault="4E521664" w14:paraId="45706555" w14:textId="67730D73">
      <w:pPr>
        <w:pStyle w:val="ListParagraph"/>
        <w:numPr>
          <w:ilvl w:val="1"/>
          <w:numId w:val="1"/>
        </w:numPr>
        <w:spacing w:after="0" w:line="360" w:lineRule="auto"/>
        <w:rPr>
          <w:lang w:val="en"/>
        </w:rPr>
      </w:pPr>
      <w:r w:rsidRPr="4E521664">
        <w:rPr>
          <w:rFonts w:ascii="Arial" w:hAnsi="Arial" w:eastAsia="Arial" w:cs="Arial"/>
          <w:lang w:val="en"/>
        </w:rPr>
        <w:t>Officers of the Engineering Society shall only use the Office or the Executive Office for Society-related business.</w:t>
      </w:r>
    </w:p>
    <w:p w:rsidRPr="00FB0D42" w:rsidR="4E521664" w:rsidP="00FE73DF" w:rsidRDefault="68E82412" w14:paraId="43015216" w14:textId="2C38AE8D">
      <w:pPr>
        <w:pStyle w:val="ListParagraph"/>
        <w:numPr>
          <w:ilvl w:val="1"/>
          <w:numId w:val="1"/>
        </w:numPr>
        <w:spacing w:after="0" w:line="360" w:lineRule="auto"/>
        <w:rPr>
          <w:rFonts w:ascii="Arial" w:hAnsi="Arial" w:cs="Arial"/>
          <w:lang w:val="en"/>
        </w:rPr>
      </w:pPr>
      <w:r w:rsidRPr="68E82412">
        <w:rPr>
          <w:rFonts w:ascii="Arial" w:hAnsi="Arial" w:eastAsia="Arial" w:cs="Arial"/>
          <w:lang w:val="en"/>
        </w:rPr>
        <w:t xml:space="preserve">Office access may be revoked from an officer of the Engineering Society per the </w:t>
      </w:r>
      <w:r w:rsidRPr="68E82412">
        <w:rPr>
          <w:rFonts w:ascii="Arial" w:hAnsi="Arial" w:eastAsia="Arial" w:cs="Arial"/>
          <w:i/>
          <w:iCs/>
          <w:lang w:val="en"/>
        </w:rPr>
        <w:t>Policy Manual: Procedures for Removal from Office.</w:t>
      </w:r>
      <w:r w:rsidR="4E521664">
        <w:br/>
      </w:r>
    </w:p>
    <w:p w:rsidRPr="00FB0D42" w:rsidR="4E521664" w:rsidP="00FE73DF" w:rsidRDefault="4E521664" w14:paraId="3B8A5FA4" w14:textId="5421E371">
      <w:pPr>
        <w:pStyle w:val="ListParagraph"/>
        <w:numPr>
          <w:ilvl w:val="0"/>
          <w:numId w:val="1"/>
        </w:numPr>
        <w:spacing w:after="0" w:line="360" w:lineRule="auto"/>
        <w:rPr>
          <w:rFonts w:ascii="Arial" w:hAnsi="Arial" w:cs="Arial"/>
          <w:lang w:val="en"/>
        </w:rPr>
      </w:pPr>
      <w:r w:rsidRPr="00FB0D42">
        <w:rPr>
          <w:rFonts w:ascii="Arial" w:hAnsi="Arial" w:eastAsia="Arial" w:cs="Arial"/>
          <w:u w:val="single"/>
          <w:lang w:val="en"/>
        </w:rPr>
        <w:t>Office Hours:</w:t>
      </w:r>
    </w:p>
    <w:p w:rsidRPr="006475E9" w:rsidR="4E521664" w:rsidP="00FE73DF" w:rsidRDefault="4E521664" w14:paraId="0F230D25" w14:textId="03A81203">
      <w:pPr>
        <w:pStyle w:val="ListParagraph"/>
        <w:numPr>
          <w:ilvl w:val="1"/>
          <w:numId w:val="1"/>
        </w:numPr>
        <w:spacing w:after="0" w:line="360" w:lineRule="auto"/>
        <w:rPr>
          <w:lang w:val="en"/>
        </w:rPr>
      </w:pPr>
      <w:r w:rsidRPr="10EED558" w:rsidR="4E521664">
        <w:rPr>
          <w:rFonts w:ascii="Arial" w:hAnsi="Arial" w:eastAsia="Arial" w:cs="Arial"/>
          <w:lang w:val="en"/>
        </w:rPr>
        <w:t>Office</w:t>
      </w:r>
      <w:r w:rsidRPr="10EED558" w:rsidR="4E521664">
        <w:rPr>
          <w:rFonts w:ascii="Arial" w:hAnsi="Arial" w:eastAsia="Arial" w:cs="Arial"/>
          <w:lang w:val="en"/>
        </w:rPr>
        <w:t xml:space="preserve"> hours</w:t>
      </w:r>
      <w:r w:rsidRPr="10EED558" w:rsidR="4E521664">
        <w:rPr>
          <w:rFonts w:ascii="Arial" w:hAnsi="Arial" w:eastAsia="Arial" w:cs="Arial"/>
          <w:lang w:val="en"/>
        </w:rPr>
        <w:t xml:space="preserve"> will be assigned to each Office</w:t>
      </w:r>
      <w:r w:rsidRPr="10EED558" w:rsidR="4E521664">
        <w:rPr>
          <w:rFonts w:ascii="Arial" w:hAnsi="Arial" w:eastAsia="Arial" w:cs="Arial"/>
          <w:lang w:val="en"/>
        </w:rPr>
        <w:t xml:space="preserve">r on Council by </w:t>
      </w:r>
      <w:r w:rsidRPr="10EED558" w:rsidR="4E521664">
        <w:rPr>
          <w:rFonts w:ascii="Arial" w:hAnsi="Arial" w:eastAsia="Arial" w:cs="Arial"/>
          <w:lang w:val="en"/>
        </w:rPr>
        <w:t xml:space="preserve">the </w:t>
      </w:r>
      <w:r w:rsidRPr="10EED558" w:rsidR="00EF2188">
        <w:rPr>
          <w:rFonts w:ascii="Arial" w:hAnsi="Arial" w:eastAsia="Arial" w:cs="Arial"/>
          <w:lang w:val="en"/>
        </w:rPr>
        <w:t>THRN Manager</w:t>
      </w:r>
      <w:r w:rsidRPr="10EED558" w:rsidR="4E521664">
        <w:rPr>
          <w:rFonts w:ascii="Arial" w:hAnsi="Arial" w:eastAsia="Arial" w:cs="Arial"/>
          <w:lang w:val="en"/>
        </w:rPr>
        <w:t>, with no officer being responsible for more than two (2) hours per week.</w:t>
      </w:r>
    </w:p>
    <w:p w:rsidRPr="006475E9" w:rsidR="4E521664" w:rsidP="10EED558" w:rsidRDefault="4E521664" w14:paraId="52E120F8" w14:textId="5FF9AD5A">
      <w:pPr>
        <w:pStyle w:val="ListParagraph"/>
        <w:numPr>
          <w:ilvl w:val="1"/>
          <w:numId w:val="1"/>
        </w:numPr>
        <w:spacing w:line="360" w:lineRule="auto"/>
        <w:rPr>
          <w:rFonts w:ascii="Arial" w:hAnsi="Arial" w:cs="Arial"/>
          <w:lang w:val="en"/>
        </w:rPr>
      </w:pPr>
      <w:r w:rsidRPr="10EED558" w:rsidR="42D5FCBE">
        <w:rPr>
          <w:rFonts w:ascii="Arial" w:hAnsi="Arial" w:eastAsia="Arial" w:cs="Arial"/>
          <w:lang w:val="en"/>
        </w:rPr>
        <w:t xml:space="preserve">Executive Officers </w:t>
      </w:r>
      <w:r w:rsidRPr="10EED558" w:rsidR="42D5FCBE">
        <w:rPr>
          <w:rFonts w:ascii="Arial" w:hAnsi="Arial" w:eastAsia="Arial" w:cs="Arial"/>
          <w:lang w:val="en"/>
        </w:rPr>
        <w:t xml:space="preserve">who are also members of the </w:t>
      </w:r>
      <w:proofErr w:type="spellStart"/>
      <w:r w:rsidRPr="10EED558" w:rsidR="42D5FCBE">
        <w:rPr>
          <w:rFonts w:ascii="Arial" w:hAnsi="Arial" w:eastAsia="Arial" w:cs="Arial"/>
          <w:lang w:val="en"/>
        </w:rPr>
        <w:t>LabFund</w:t>
      </w:r>
      <w:proofErr w:type="spellEnd"/>
      <w:r w:rsidRPr="10EED558" w:rsidR="42D5FCBE">
        <w:rPr>
          <w:rFonts w:ascii="Arial" w:hAnsi="Arial" w:eastAsia="Arial" w:cs="Arial"/>
          <w:lang w:val="en"/>
        </w:rPr>
        <w:t xml:space="preserve"> Committee</w:t>
      </w:r>
      <w:r w:rsidRPr="10EED558" w:rsidR="42D5FCBE">
        <w:rPr>
          <w:rFonts w:ascii="Arial" w:hAnsi="Arial" w:eastAsia="Arial" w:cs="Arial"/>
          <w:lang w:val="en"/>
        </w:rPr>
        <w:t xml:space="preserve"> shall be responsible for one (1) Office Hour in the </w:t>
      </w:r>
      <w:r w:rsidRPr="10EED558" w:rsidR="42D5FCBE">
        <w:rPr>
          <w:rFonts w:ascii="Arial" w:hAnsi="Arial" w:eastAsia="Arial" w:cs="Arial"/>
          <w:lang w:val="en"/>
        </w:rPr>
        <w:t>Executive Office</w:t>
      </w:r>
      <w:r w:rsidRPr="10EED558" w:rsidR="42D5FCBE">
        <w:rPr>
          <w:rFonts w:ascii="Arial" w:hAnsi="Arial" w:eastAsia="Arial" w:cs="Arial"/>
          <w:lang w:val="en"/>
        </w:rPr>
        <w:t xml:space="preserve"> in lieu of 1 of 2 hours in the </w:t>
      </w:r>
      <w:r w:rsidRPr="10EED558" w:rsidR="42D5FCBE">
        <w:rPr>
          <w:rFonts w:ascii="Arial" w:hAnsi="Arial" w:eastAsia="Arial" w:cs="Arial"/>
          <w:lang w:val="en"/>
        </w:rPr>
        <w:t>Office</w:t>
      </w:r>
      <w:r w:rsidRPr="10EED558" w:rsidR="42D5FCBE">
        <w:rPr>
          <w:rFonts w:ascii="Arial" w:hAnsi="Arial" w:eastAsia="Arial" w:cs="Arial"/>
          <w:lang w:val="en"/>
        </w:rPr>
        <w:t>.</w:t>
      </w:r>
      <w:bookmarkStart w:name="_GoBack" w:id="0"/>
      <w:bookmarkEnd w:id="0"/>
    </w:p>
    <w:p w:rsidR="4E521664" w:rsidP="00FE73DF" w:rsidRDefault="4E521664" w14:paraId="1839F576" w14:textId="0B30A3D1">
      <w:pPr>
        <w:spacing w:after="0" w:line="360" w:lineRule="auto"/>
      </w:pPr>
    </w:p>
    <w:p w:rsidR="4E521664" w:rsidP="00FE73DF" w:rsidRDefault="4E521664" w14:paraId="37DA0A5D" w14:textId="552CB20C">
      <w:pPr>
        <w:pStyle w:val="ListParagraph"/>
        <w:numPr>
          <w:ilvl w:val="0"/>
          <w:numId w:val="1"/>
        </w:numPr>
        <w:spacing w:after="0" w:line="360" w:lineRule="auto"/>
        <w:rPr>
          <w:lang w:val="en"/>
        </w:rPr>
      </w:pPr>
      <w:r w:rsidRPr="10EED558" w:rsidR="4E521664">
        <w:rPr>
          <w:rFonts w:ascii="Arial" w:hAnsi="Arial" w:eastAsia="Arial" w:cs="Arial"/>
          <w:u w:val="single"/>
          <w:lang w:val="en"/>
        </w:rPr>
        <w:t>Trophy Cases:</w:t>
      </w:r>
    </w:p>
    <w:p w:rsidR="4E521664" w:rsidP="00FE73DF" w:rsidRDefault="4E521664" w14:paraId="7A0B9856" w14:textId="635CAD03">
      <w:pPr>
        <w:pStyle w:val="ListParagraph"/>
        <w:numPr>
          <w:ilvl w:val="1"/>
          <w:numId w:val="1"/>
        </w:numPr>
        <w:spacing w:after="0" w:line="360" w:lineRule="auto"/>
        <w:rPr>
          <w:u w:val="single"/>
          <w:lang w:val="en"/>
        </w:rPr>
      </w:pPr>
      <w:r w:rsidRPr="10EED558" w:rsidR="4E521664">
        <w:rPr>
          <w:rFonts w:ascii="Arial" w:hAnsi="Arial" w:eastAsia="Arial" w:cs="Arial"/>
          <w:lang w:val="en"/>
        </w:rPr>
        <w:t>Trophy cases shall only be used to display awards, memorabilia, merchandise, and other items of interest to the undergraduate engineering students.</w:t>
      </w:r>
    </w:p>
    <w:p w:rsidR="4E521664" w:rsidP="00FE73DF" w:rsidRDefault="4E521664" w14:paraId="7722A8CE" w14:textId="0A43DCDB">
      <w:pPr>
        <w:pStyle w:val="ListParagraph"/>
        <w:numPr>
          <w:ilvl w:val="1"/>
          <w:numId w:val="1"/>
        </w:numPr>
        <w:spacing w:after="0" w:line="360" w:lineRule="auto"/>
        <w:rPr>
          <w:lang w:val="en"/>
        </w:rPr>
      </w:pPr>
      <w:r w:rsidRPr="10EED558" w:rsidR="4E521664">
        <w:rPr>
          <w:rFonts w:ascii="Arial" w:hAnsi="Arial" w:eastAsia="Arial" w:cs="Arial"/>
          <w:lang w:val="en"/>
        </w:rPr>
        <w:t>Awards granted to students and staff at the School of Engineering shall be displayed as prominently as possible.</w:t>
      </w:r>
      <w:r>
        <w:br/>
      </w:r>
    </w:p>
    <w:p w:rsidR="4E521664" w:rsidP="00FE73DF" w:rsidRDefault="4E521664" w14:paraId="44CCE4EB" w14:textId="7C1CF202">
      <w:pPr>
        <w:pStyle w:val="ListParagraph"/>
        <w:numPr>
          <w:ilvl w:val="0"/>
          <w:numId w:val="1"/>
        </w:numPr>
        <w:spacing w:after="0" w:line="360" w:lineRule="auto"/>
        <w:rPr>
          <w:lang w:val="en"/>
        </w:rPr>
      </w:pPr>
      <w:r w:rsidRPr="10EED558" w:rsidR="4E521664">
        <w:rPr>
          <w:rFonts w:ascii="Arial" w:hAnsi="Arial" w:eastAsia="Arial" w:cs="Arial"/>
          <w:u w:val="single"/>
          <w:lang w:val="en"/>
        </w:rPr>
        <w:t>Storage of Personal Goods:</w:t>
      </w:r>
    </w:p>
    <w:p w:rsidR="4E521664" w:rsidP="00FE73DF" w:rsidRDefault="4E521664" w14:paraId="48694CBA" w14:textId="4C538C4E">
      <w:pPr>
        <w:pStyle w:val="ListParagraph"/>
        <w:numPr>
          <w:ilvl w:val="1"/>
          <w:numId w:val="1"/>
        </w:numPr>
        <w:spacing w:after="0" w:line="360" w:lineRule="auto"/>
        <w:rPr>
          <w:u w:val="single"/>
          <w:lang w:val="en"/>
        </w:rPr>
      </w:pPr>
      <w:r w:rsidRPr="10EED558" w:rsidR="4E521664">
        <w:rPr>
          <w:rFonts w:ascii="Arial" w:hAnsi="Arial" w:eastAsia="Arial" w:cs="Arial"/>
          <w:lang w:val="en"/>
        </w:rPr>
        <w:t>No person shall store personal or other non-Council-related goods within the Office or the Executive Office.</w:t>
      </w:r>
    </w:p>
    <w:p w:rsidR="4E521664" w:rsidP="4E521664" w:rsidRDefault="4E521664" w14:paraId="42D2C63C" w14:textId="5F5ED481">
      <w:pPr>
        <w:spacing w:after="0" w:line="276" w:lineRule="auto"/>
        <w:rPr>
          <w:rFonts w:ascii="Arial" w:hAnsi="Arial" w:eastAsia="Arial" w:cs="Arial"/>
          <w:lang w:val="en"/>
        </w:rPr>
      </w:pPr>
    </w:p>
    <w:p w:rsidR="4E521664" w:rsidP="4E521664" w:rsidRDefault="4E521664" w14:paraId="09235393" w14:textId="1C7A071A">
      <w:pPr>
        <w:spacing w:after="0" w:line="276" w:lineRule="auto"/>
        <w:ind w:left="1440" w:hanging="360"/>
        <w:rPr>
          <w:rFonts w:ascii="Arial" w:hAnsi="Arial" w:eastAsia="Arial" w:cs="Arial"/>
          <w:lang w:val="en"/>
        </w:rPr>
      </w:pPr>
    </w:p>
    <w:p w:rsidR="4E521664" w:rsidP="4E521664" w:rsidRDefault="4E521664" w14:paraId="08219CB5" w14:textId="0E3D9BC7">
      <w:pPr>
        <w:spacing w:after="0" w:line="276" w:lineRule="auto"/>
        <w:ind w:left="1440" w:hanging="360"/>
        <w:rPr>
          <w:rFonts w:ascii="Arial" w:hAnsi="Arial" w:eastAsia="Arial" w:cs="Arial"/>
          <w:lang w:val="en"/>
        </w:rPr>
      </w:pPr>
    </w:p>
    <w:p w:rsidR="4E521664" w:rsidP="4E521664" w:rsidRDefault="4E521664" w14:paraId="12CB4AC4" w14:textId="7EAB282F">
      <w:pPr>
        <w:rPr>
          <w:rFonts w:ascii="Arial" w:hAnsi="Arial" w:eastAsia="Arial" w:cs="Arial"/>
        </w:rPr>
      </w:pPr>
    </w:p>
    <w:sectPr w:rsidR="4E521664">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426" w:rsidP="00FE73DF" w:rsidRDefault="00893426" w14:paraId="63433C65" w14:textId="77777777">
      <w:pPr>
        <w:spacing w:after="0" w:line="240" w:lineRule="auto"/>
      </w:pPr>
      <w:r>
        <w:separator/>
      </w:r>
    </w:p>
  </w:endnote>
  <w:endnote w:type="continuationSeparator" w:id="0">
    <w:p w:rsidR="00893426" w:rsidP="00FE73DF" w:rsidRDefault="00893426" w14:paraId="7303587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848020524"/>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rsidRPr="00FE73DF" w:rsidR="00FE73DF" w:rsidRDefault="00FE73DF" w14:paraId="00695088" w14:textId="20B171E0">
            <w:pPr>
              <w:pStyle w:val="Footer"/>
              <w:jc w:val="center"/>
              <w:rPr>
                <w:rFonts w:ascii="Arial" w:hAnsi="Arial" w:cs="Arial"/>
              </w:rPr>
            </w:pPr>
            <w:r w:rsidRPr="00FE73DF">
              <w:rPr>
                <w:rFonts w:ascii="Arial" w:hAnsi="Arial" w:cs="Arial"/>
              </w:rPr>
              <w:t xml:space="preserve">Page </w:t>
            </w:r>
            <w:r w:rsidRPr="00FE73DF">
              <w:rPr>
                <w:rFonts w:ascii="Arial" w:hAnsi="Arial" w:cs="Arial"/>
                <w:b/>
                <w:bCs/>
              </w:rPr>
              <w:fldChar w:fldCharType="begin"/>
            </w:r>
            <w:r w:rsidRPr="00FE73DF">
              <w:rPr>
                <w:rFonts w:ascii="Arial" w:hAnsi="Arial" w:cs="Arial"/>
                <w:b/>
                <w:bCs/>
              </w:rPr>
              <w:instrText xml:space="preserve"> PAGE </w:instrText>
            </w:r>
            <w:r w:rsidRPr="00FE73DF">
              <w:rPr>
                <w:rFonts w:ascii="Arial" w:hAnsi="Arial" w:cs="Arial"/>
                <w:b/>
                <w:bCs/>
              </w:rPr>
              <w:fldChar w:fldCharType="separate"/>
            </w:r>
            <w:r w:rsidRPr="00FE73DF">
              <w:rPr>
                <w:rFonts w:ascii="Arial" w:hAnsi="Arial" w:cs="Arial"/>
                <w:b/>
                <w:bCs/>
                <w:noProof/>
              </w:rPr>
              <w:t>2</w:t>
            </w:r>
            <w:r w:rsidRPr="00FE73DF">
              <w:rPr>
                <w:rFonts w:ascii="Arial" w:hAnsi="Arial" w:cs="Arial"/>
                <w:b/>
                <w:bCs/>
              </w:rPr>
              <w:fldChar w:fldCharType="end"/>
            </w:r>
            <w:r w:rsidRPr="00FE73DF">
              <w:rPr>
                <w:rFonts w:ascii="Arial" w:hAnsi="Arial" w:cs="Arial"/>
              </w:rPr>
              <w:t xml:space="preserve"> of </w:t>
            </w:r>
            <w:r w:rsidRPr="00FE73DF">
              <w:rPr>
                <w:rFonts w:ascii="Arial" w:hAnsi="Arial" w:cs="Arial"/>
                <w:b/>
                <w:bCs/>
              </w:rPr>
              <w:fldChar w:fldCharType="begin"/>
            </w:r>
            <w:r w:rsidRPr="00FE73DF">
              <w:rPr>
                <w:rFonts w:ascii="Arial" w:hAnsi="Arial" w:cs="Arial"/>
                <w:b/>
                <w:bCs/>
              </w:rPr>
              <w:instrText xml:space="preserve"> NUMPAGES  </w:instrText>
            </w:r>
            <w:r w:rsidRPr="00FE73DF">
              <w:rPr>
                <w:rFonts w:ascii="Arial" w:hAnsi="Arial" w:cs="Arial"/>
                <w:b/>
                <w:bCs/>
              </w:rPr>
              <w:fldChar w:fldCharType="separate"/>
            </w:r>
            <w:r w:rsidRPr="00FE73DF">
              <w:rPr>
                <w:rFonts w:ascii="Arial" w:hAnsi="Arial" w:cs="Arial"/>
                <w:b/>
                <w:bCs/>
                <w:noProof/>
              </w:rPr>
              <w:t>2</w:t>
            </w:r>
            <w:r w:rsidRPr="00FE73DF">
              <w:rPr>
                <w:rFonts w:ascii="Arial" w:hAnsi="Arial" w:cs="Arial"/>
                <w:b/>
                <w:bCs/>
              </w:rPr>
              <w:fldChar w:fldCharType="end"/>
            </w:r>
          </w:p>
        </w:sdtContent>
      </w:sdt>
    </w:sdtContent>
  </w:sdt>
  <w:p w:rsidR="00FE73DF" w:rsidRDefault="00FE73DF" w14:paraId="6656470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426" w:rsidP="00FE73DF" w:rsidRDefault="00893426" w14:paraId="46EEA514" w14:textId="77777777">
      <w:pPr>
        <w:spacing w:after="0" w:line="240" w:lineRule="auto"/>
      </w:pPr>
      <w:r>
        <w:separator/>
      </w:r>
    </w:p>
  </w:footnote>
  <w:footnote w:type="continuationSeparator" w:id="0">
    <w:p w:rsidR="00893426" w:rsidP="00FE73DF" w:rsidRDefault="00893426" w14:paraId="45AF45B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647C"/>
    <w:multiLevelType w:val="hybridMultilevel"/>
    <w:tmpl w:val="BC7A387C"/>
    <w:lvl w:ilvl="0" w:tplc="0AE2C716">
      <w:start w:val="1"/>
      <w:numFmt w:val="lowerLetter"/>
      <w:lvlText w:val="%1."/>
      <w:lvlJc w:val="left"/>
      <w:pPr>
        <w:ind w:left="144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64765D94"/>
    <w:multiLevelType w:val="hybridMultilevel"/>
    <w:tmpl w:val="BE1A7860"/>
    <w:lvl w:ilvl="0" w:tplc="1332B4AE">
      <w:start w:val="1"/>
      <w:numFmt w:val="decimal"/>
      <w:lvlText w:val="%1."/>
      <w:lvlJc w:val="left"/>
      <w:pPr>
        <w:ind w:left="720" w:hanging="360"/>
      </w:pPr>
    </w:lvl>
    <w:lvl w:ilvl="1" w:tplc="0AE2C716">
      <w:start w:val="1"/>
      <w:numFmt w:val="lowerLetter"/>
      <w:lvlText w:val="%2."/>
      <w:lvlJc w:val="left"/>
      <w:pPr>
        <w:ind w:left="1440" w:hanging="360"/>
      </w:pPr>
    </w:lvl>
    <w:lvl w:ilvl="2" w:tplc="3F2E147C">
      <w:start w:val="1"/>
      <w:numFmt w:val="lowerRoman"/>
      <w:lvlText w:val="%3."/>
      <w:lvlJc w:val="right"/>
      <w:pPr>
        <w:ind w:left="2160" w:hanging="180"/>
      </w:pPr>
    </w:lvl>
    <w:lvl w:ilvl="3" w:tplc="407E8140">
      <w:start w:val="1"/>
      <w:numFmt w:val="decimal"/>
      <w:lvlText w:val="%4."/>
      <w:lvlJc w:val="left"/>
      <w:pPr>
        <w:ind w:left="2880" w:hanging="360"/>
      </w:pPr>
    </w:lvl>
    <w:lvl w:ilvl="4" w:tplc="0DC0BEDE">
      <w:start w:val="1"/>
      <w:numFmt w:val="lowerLetter"/>
      <w:lvlText w:val="%5."/>
      <w:lvlJc w:val="left"/>
      <w:pPr>
        <w:ind w:left="3600" w:hanging="360"/>
      </w:pPr>
    </w:lvl>
    <w:lvl w:ilvl="5" w:tplc="E468EE20">
      <w:start w:val="1"/>
      <w:numFmt w:val="lowerRoman"/>
      <w:lvlText w:val="%6."/>
      <w:lvlJc w:val="right"/>
      <w:pPr>
        <w:ind w:left="4320" w:hanging="180"/>
      </w:pPr>
    </w:lvl>
    <w:lvl w:ilvl="6" w:tplc="EF203180">
      <w:start w:val="1"/>
      <w:numFmt w:val="decimal"/>
      <w:lvlText w:val="%7."/>
      <w:lvlJc w:val="left"/>
      <w:pPr>
        <w:ind w:left="5040" w:hanging="360"/>
      </w:pPr>
    </w:lvl>
    <w:lvl w:ilvl="7" w:tplc="89087708">
      <w:start w:val="1"/>
      <w:numFmt w:val="lowerLetter"/>
      <w:lvlText w:val="%8."/>
      <w:lvlJc w:val="left"/>
      <w:pPr>
        <w:ind w:left="5760" w:hanging="360"/>
      </w:pPr>
    </w:lvl>
    <w:lvl w:ilvl="8" w:tplc="0C1292C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521664"/>
    <w:rsid w:val="000F1ABC"/>
    <w:rsid w:val="00115F55"/>
    <w:rsid w:val="001B55BB"/>
    <w:rsid w:val="001D7794"/>
    <w:rsid w:val="002C7C2B"/>
    <w:rsid w:val="006475E9"/>
    <w:rsid w:val="00893426"/>
    <w:rsid w:val="009907D8"/>
    <w:rsid w:val="009A0BBB"/>
    <w:rsid w:val="00A9626F"/>
    <w:rsid w:val="00AB2940"/>
    <w:rsid w:val="00B82154"/>
    <w:rsid w:val="00EB499A"/>
    <w:rsid w:val="00ED77B0"/>
    <w:rsid w:val="00EF2188"/>
    <w:rsid w:val="00FB0D42"/>
    <w:rsid w:val="00FE73DF"/>
    <w:rsid w:val="10EED558"/>
    <w:rsid w:val="42D5FCBE"/>
    <w:rsid w:val="4E521664"/>
    <w:rsid w:val="550A914F"/>
    <w:rsid w:val="5CF78024"/>
    <w:rsid w:val="68E8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D6F2264E-496D-402C-AE8E-CF6026AF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E73DF"/>
    <w:pPr>
      <w:tabs>
        <w:tab w:val="center" w:pos="4680"/>
        <w:tab w:val="right" w:pos="9360"/>
      </w:tabs>
      <w:spacing w:after="0" w:line="240" w:lineRule="auto"/>
    </w:pPr>
  </w:style>
  <w:style w:type="character" w:styleId="HeaderChar" w:customStyle="1">
    <w:name w:val="Header Char"/>
    <w:basedOn w:val="DefaultParagraphFont"/>
    <w:link w:val="Header"/>
    <w:uiPriority w:val="99"/>
    <w:rsid w:val="00FE73DF"/>
  </w:style>
  <w:style w:type="paragraph" w:styleId="Footer">
    <w:name w:val="footer"/>
    <w:basedOn w:val="Normal"/>
    <w:link w:val="FooterChar"/>
    <w:uiPriority w:val="99"/>
    <w:unhideWhenUsed/>
    <w:rsid w:val="00FE73DF"/>
    <w:pPr>
      <w:tabs>
        <w:tab w:val="center" w:pos="4680"/>
        <w:tab w:val="right" w:pos="9360"/>
      </w:tabs>
      <w:spacing w:after="0" w:line="240" w:lineRule="auto"/>
    </w:pPr>
  </w:style>
  <w:style w:type="character" w:styleId="FooterChar" w:customStyle="1">
    <w:name w:val="Footer Char"/>
    <w:basedOn w:val="DefaultParagraphFont"/>
    <w:link w:val="Footer"/>
    <w:uiPriority w:val="99"/>
    <w:rsid w:val="00FE7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881eb9fe230a4cf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4e3f14b-173c-4d84-87f9-00e6076a2f20}"/>
      </w:docPartPr>
      <w:docPartBody>
        <w:p w14:paraId="57C77F3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88840c-9b4f-41bf-9485-e9be1075381a" xsi:nil="true"/>
    <lcf76f155ced4ddcb4097134ff3c332f xmlns="921c2b11-29d4-4b51-8873-bf3a3a1ea5d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9FFF1DC151A34DBADF6A1F25733BB9" ma:contentTypeVersion="17" ma:contentTypeDescription="Create a new document." ma:contentTypeScope="" ma:versionID="449c433efb3e4611fbb009dd9362fd36">
  <xsd:schema xmlns:xsd="http://www.w3.org/2001/XMLSchema" xmlns:xs="http://www.w3.org/2001/XMLSchema" xmlns:p="http://schemas.microsoft.com/office/2006/metadata/properties" xmlns:ns2="921c2b11-29d4-4b51-8873-bf3a3a1ea5d8" xmlns:ns3="8f88840c-9b4f-41bf-9485-e9be1075381a" targetNamespace="http://schemas.microsoft.com/office/2006/metadata/properties" ma:root="true" ma:fieldsID="ce6c5492ab1459ad43c77b858eb911fa" ns2:_="" ns3:_="">
    <xsd:import namespace="921c2b11-29d4-4b51-8873-bf3a3a1ea5d8"/>
    <xsd:import namespace="8f88840c-9b4f-41bf-9485-e9be107538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c2b11-29d4-4b51-8873-bf3a3a1ea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88840c-9b4f-41bf-9485-e9be107538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4cbfda-e12b-45f2-9d49-6620aa6c670f}" ma:internalName="TaxCatchAll" ma:showField="CatchAllData" ma:web="8f88840c-9b4f-41bf-9485-e9be107538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15C951-874C-4003-BE20-6233A465A6DB}">
  <ds:schemaRefs>
    <ds:schemaRef ds:uri="http://www.w3.org/XML/1998/namespace"/>
    <ds:schemaRef ds:uri="b05447f0-a442-4420-a92f-2d0361cf8422"/>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DCBC2DD4-8243-4F1D-AE8A-865916140676}">
  <ds:schemaRefs>
    <ds:schemaRef ds:uri="http://schemas.microsoft.com/sharepoint/v3/contenttype/forms"/>
  </ds:schemaRefs>
</ds:datastoreItem>
</file>

<file path=customXml/itemProps3.xml><?xml version="1.0" encoding="utf-8"?>
<ds:datastoreItem xmlns:ds="http://schemas.openxmlformats.org/officeDocument/2006/customXml" ds:itemID="{D6229FFC-EB5A-425F-AE3B-4A6F9A7DCA4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Saunders</dc:creator>
  <cp:keywords/>
  <dc:description/>
  <cp:lastModifiedBy>Charlotte Reich</cp:lastModifiedBy>
  <cp:revision>17</cp:revision>
  <cp:lastPrinted>2018-09-04T00:35:00Z</cp:lastPrinted>
  <dcterms:created xsi:type="dcterms:W3CDTF">2018-09-04T00:33:00Z</dcterms:created>
  <dcterms:modified xsi:type="dcterms:W3CDTF">2021-11-08T20:35:29Z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0x010100B19FFF1DC151A34DBADF6A1F25733BB9</vt:lpwstr>
  </property>
  <property fmtid="{D5CDD505-2E9C-101B-9397-08002B2CF9AE}" pid="3" name="Order">
    <vt:r8>489400</vt:r8>
  </property>
  <property fmtid="{D5CDD505-2E9C-101B-9397-08002B2CF9AE}" pid="4" name="ComplianceAssetId">
    <vt:lpwstr/>
  </property>
</Properties>
</file>